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0F" w:rsidRDefault="0067170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-7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67170F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67170F" w:rsidRDefault="00E526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67170F" w:rsidRDefault="006717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67170F" w:rsidRDefault="00E526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7170F" w:rsidRDefault="006717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67170F" w:rsidRDefault="00E526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70F">
        <w:tc>
          <w:tcPr>
            <w:tcW w:w="115" w:type="dxa"/>
            <w:shd w:val="clear" w:color="auto" w:fill="auto"/>
          </w:tcPr>
          <w:p w:rsidR="0067170F" w:rsidRDefault="006717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67170F" w:rsidRDefault="00E526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</w:t>
            </w: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01</w:t>
            </w:r>
          </w:p>
        </w:tc>
      </w:tr>
      <w:tr w:rsidR="0067170F">
        <w:tc>
          <w:tcPr>
            <w:tcW w:w="115" w:type="dxa"/>
            <w:shd w:val="clear" w:color="auto" w:fill="auto"/>
          </w:tcPr>
          <w:p w:rsidR="0067170F" w:rsidRDefault="006717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67170F" w:rsidRDefault="00E526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67170F" w:rsidRDefault="00E526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67170F" w:rsidRDefault="00E526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67170F" w:rsidRDefault="0067170F">
      <w:pPr>
        <w:pStyle w:val="normal"/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PIANO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67170F" w:rsidRDefault="00E52685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Nome e cognome della docente</w:t>
      </w:r>
      <w:r>
        <w:rPr>
          <w:rFonts w:ascii="Calibri" w:eastAsia="Calibri" w:hAnsi="Calibri" w:cs="Calibri"/>
          <w:sz w:val="24"/>
          <w:szCs w:val="24"/>
        </w:rPr>
        <w:t>: Barbara Sodi</w:t>
      </w:r>
    </w:p>
    <w:p w:rsidR="0067170F" w:rsidRDefault="0067170F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:rsidR="0067170F" w:rsidRDefault="00E52685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Disciplina insegnata</w:t>
      </w:r>
      <w:r>
        <w:rPr>
          <w:rFonts w:ascii="Calibri" w:eastAsia="Calibri" w:hAnsi="Calibri" w:cs="Calibri"/>
          <w:sz w:val="24"/>
          <w:szCs w:val="24"/>
        </w:rPr>
        <w:t>: Scienze Motorie e Sportive</w:t>
      </w:r>
    </w:p>
    <w:p w:rsidR="0067170F" w:rsidRDefault="0067170F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:rsidR="0067170F" w:rsidRDefault="00E52685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Libro/i di testo in uso</w:t>
      </w:r>
      <w:r>
        <w:rPr>
          <w:rFonts w:ascii="Calibri" w:eastAsia="Calibri" w:hAnsi="Calibri" w:cs="Calibri"/>
          <w:sz w:val="24"/>
          <w:szCs w:val="24"/>
        </w:rPr>
        <w:t xml:space="preserve">: G. </w:t>
      </w:r>
      <w:proofErr w:type="spellStart"/>
      <w:r>
        <w:rPr>
          <w:rFonts w:ascii="Calibri" w:eastAsia="Calibri" w:hAnsi="Calibri" w:cs="Calibri"/>
          <w:sz w:val="24"/>
          <w:szCs w:val="24"/>
        </w:rPr>
        <w:t>Fiorni-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S. </w:t>
      </w:r>
      <w:proofErr w:type="spellStart"/>
      <w:r>
        <w:rPr>
          <w:rFonts w:ascii="Calibri" w:eastAsia="Calibri" w:hAnsi="Calibri" w:cs="Calibri"/>
          <w:sz w:val="24"/>
          <w:szCs w:val="24"/>
        </w:rPr>
        <w:t>Bocchi-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S. Coretti- E. Chiesa: “PIU'MOVIMENTO” (VOLUME UNICO + EBOOK) Editore: MARIETTI SCUOLA.</w:t>
      </w:r>
    </w:p>
    <w:p w:rsidR="0067170F" w:rsidRDefault="0067170F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>
        <w:rPr>
          <w:rFonts w:ascii="Calibri" w:eastAsia="Calibri" w:hAnsi="Calibri" w:cs="Calibri"/>
          <w:sz w:val="24"/>
          <w:szCs w:val="24"/>
        </w:rPr>
        <w:t>4H^ Sez. H</w:t>
      </w:r>
    </w:p>
    <w:p w:rsidR="0067170F" w:rsidRDefault="0067170F">
      <w:pPr>
        <w:pStyle w:val="normal"/>
        <w:keepNext/>
        <w:tabs>
          <w:tab w:val="left" w:pos="708"/>
        </w:tabs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keepNext/>
        <w:tabs>
          <w:tab w:val="left" w:pos="708"/>
        </w:tabs>
        <w:ind w:left="4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>
        <w:rPr>
          <w:rFonts w:ascii="Calibri" w:eastAsia="Calibri" w:hAnsi="Calibri" w:cs="Calibri"/>
          <w:sz w:val="24"/>
          <w:szCs w:val="24"/>
        </w:rPr>
        <w:t>Servizi per la sanità e l’assistenza sociale.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Competenze che s</w:t>
      </w:r>
      <w:r>
        <w:rPr>
          <w:rFonts w:ascii="Calibri" w:eastAsia="Calibri" w:hAnsi="Calibri" w:cs="Calibri"/>
          <w:b/>
          <w:sz w:val="24"/>
          <w:szCs w:val="24"/>
        </w:rPr>
        <w:t>i intendono sviluppare o traguardi di competenza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percezione del sé ed il comportamento dello sviluppo funzionale delle capacità motorie ed espressive: lo studente conosce il proprio corpo e la sua funzionalità.</w:t>
      </w:r>
    </w:p>
    <w:p w:rsidR="0067170F" w:rsidRDefault="00E5268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Capacità di eseguire schemi motori di base e complessi utili ad affrontare attività sportive.</w:t>
      </w:r>
    </w:p>
    <w:p w:rsidR="0067170F" w:rsidRDefault="00E5268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sport, le regole ed il fair play: lo studente applicherà gli sport di squadra applicando strategie efficaci per la risoluzione di situazioni problematiche; si </w:t>
      </w:r>
      <w:r>
        <w:rPr>
          <w:rFonts w:ascii="Calibri" w:eastAsia="Calibri" w:hAnsi="Calibri" w:cs="Calibri"/>
          <w:sz w:val="24"/>
          <w:szCs w:val="24"/>
        </w:rPr>
        <w:t>impegnerà negli sport individuali abituandosi al confronto ed all’assunzione di responsabilità personali; collaborerà con i compagni all’interno del gruppo facendo emergere le proprie potenzialità;</w:t>
      </w:r>
    </w:p>
    <w:p w:rsidR="0067170F" w:rsidRDefault="00E5268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Salute, benessere e sicurezza: lo studente conoscerà i pri</w:t>
      </w:r>
      <w:r>
        <w:rPr>
          <w:rFonts w:ascii="Calibri" w:eastAsia="Calibri" w:hAnsi="Calibri" w:cs="Calibri"/>
          <w:sz w:val="24"/>
          <w:szCs w:val="24"/>
        </w:rPr>
        <w:t>ncipi fondamentali di prevenzione per la sicurezza personale in palestra, in casa e negli spazi aperti, compreso quello stradale; adotterà i principi igienici e scientifici essenziali per mantenere il proprio stato di salute e migliorare l’efficienza fisic</w:t>
      </w:r>
      <w:r>
        <w:rPr>
          <w:rFonts w:ascii="Calibri" w:eastAsia="Calibri" w:hAnsi="Calibri" w:cs="Calibri"/>
          <w:sz w:val="24"/>
          <w:szCs w:val="24"/>
        </w:rPr>
        <w:t>a, così come le norme sanitarie e alimentari indispensabili per il mantenimento del proprio benessere. Lo studente, inoltre, conoscerà gli effetti benefici dei percorsi di preparazione fisica e gli effetti dannosi dei prodotti farmacologici tesi esclusivam</w:t>
      </w:r>
      <w:r>
        <w:rPr>
          <w:rFonts w:ascii="Calibri" w:eastAsia="Calibri" w:hAnsi="Calibri" w:cs="Calibri"/>
          <w:sz w:val="24"/>
          <w:szCs w:val="24"/>
        </w:rPr>
        <w:t>ente al risultato immediato.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1</w:t>
      </w: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 capacità coordinative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Competenze: </w:t>
      </w:r>
    </w:p>
    <w:p w:rsidR="0067170F" w:rsidRDefault="00E52685"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allestire percorsi, circuiti e giochi che sviluppino le capacità coordinative.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Conoscenze:</w:t>
      </w:r>
    </w:p>
    <w:p w:rsidR="0067170F" w:rsidRDefault="00E5268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il proprio corpo per ampliare le capacità coordinative al fine di realizzare schemi motori sempre più complessi.</w:t>
      </w: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Abilità:</w:t>
      </w:r>
    </w:p>
    <w:p w:rsidR="0067170F" w:rsidRDefault="00E5268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Utilizzare consapevolmente il proprio corpo nell’attività motoria.</w:t>
      </w:r>
    </w:p>
    <w:p w:rsidR="0067170F" w:rsidRDefault="00E5268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Realizzare movimenti che richiedono di associare/dissociare le varie parti del corpo. </w:t>
      </w:r>
    </w:p>
    <w:p w:rsidR="0067170F" w:rsidRDefault="00E5268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Utilizzare schemi motori semplici e complessi in situazioni varie. Mantenere e controllare le postu</w:t>
      </w:r>
      <w:r>
        <w:rPr>
          <w:rFonts w:ascii="Calibri" w:eastAsia="Calibri" w:hAnsi="Calibri" w:cs="Calibri"/>
          <w:sz w:val="24"/>
          <w:szCs w:val="24"/>
        </w:rPr>
        <w:t>re assunte.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</w:p>
    <w:p w:rsidR="0067170F" w:rsidRDefault="00E526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mettere in pratica le tecniche acquisite relative allo sviluppo ed al mantenimento degli schemi motori di base.</w:t>
      </w:r>
    </w:p>
    <w:p w:rsidR="0067170F" w:rsidRDefault="00E526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Utilizzare schemi motori semplici.</w:t>
      </w:r>
    </w:p>
    <w:p w:rsidR="0067170F" w:rsidRDefault="00E526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Mantenere per un tempo sufficiente le posture assunte.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2</w:t>
      </w: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 capacità condizionali: la resistenza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Competenze:</w:t>
      </w:r>
    </w:p>
    <w:p w:rsidR="0067170F" w:rsidRDefault="00E52685">
      <w:pPr>
        <w:pStyle w:val="normal"/>
        <w:numPr>
          <w:ilvl w:val="0"/>
          <w:numId w:val="3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condurre una esercitazione specifica.</w:t>
      </w:r>
    </w:p>
    <w:p w:rsidR="0067170F" w:rsidRDefault="0067170F">
      <w:pPr>
        <w:pStyle w:val="normal"/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Conoscenze:</w:t>
      </w:r>
    </w:p>
    <w:p w:rsidR="0067170F" w:rsidRDefault="00E52685">
      <w:pPr>
        <w:pStyle w:val="normal"/>
        <w:numPr>
          <w:ilvl w:val="0"/>
          <w:numId w:val="25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metodologie relative allo sviluppo della resistenza.</w:t>
      </w: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Abilità:</w:t>
      </w:r>
    </w:p>
    <w:p w:rsidR="0067170F" w:rsidRDefault="00E52685">
      <w:pPr>
        <w:pStyle w:val="normal"/>
        <w:numPr>
          <w:ilvl w:val="0"/>
          <w:numId w:val="15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mettere in pratica correttamente le metodologie relative allo sviluppo della resistenza.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</w:p>
    <w:p w:rsidR="0067170F" w:rsidRDefault="00E52685">
      <w:pPr>
        <w:pStyle w:val="normal"/>
        <w:numPr>
          <w:ilvl w:val="0"/>
          <w:numId w:val="18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Applicare sufficientemente le metodologie relative allo sviluppo della resistenza.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3</w:t>
      </w: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 capacità condizionali: la velocità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Compete</w:t>
      </w:r>
      <w:r>
        <w:rPr>
          <w:rFonts w:ascii="Calibri" w:eastAsia="Calibri" w:hAnsi="Calibri" w:cs="Calibri"/>
          <w:sz w:val="24"/>
          <w:szCs w:val="24"/>
        </w:rPr>
        <w:t>nze:</w:t>
      </w:r>
    </w:p>
    <w:p w:rsidR="0067170F" w:rsidRDefault="00E52685">
      <w:pPr>
        <w:pStyle w:val="normal"/>
        <w:numPr>
          <w:ilvl w:val="0"/>
          <w:numId w:val="9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condurre una esercitazione specifica.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Conoscenze:</w:t>
      </w:r>
    </w:p>
    <w:p w:rsidR="0067170F" w:rsidRDefault="00E52685">
      <w:pPr>
        <w:pStyle w:val="normal"/>
        <w:numPr>
          <w:ilvl w:val="0"/>
          <w:numId w:val="28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metodologie relative all’incremento della velocità.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Abilità:</w:t>
      </w:r>
    </w:p>
    <w:p w:rsidR="0067170F" w:rsidRDefault="00E52685">
      <w:pPr>
        <w:pStyle w:val="normal"/>
        <w:numPr>
          <w:ilvl w:val="0"/>
          <w:numId w:val="22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mettere in pratica correttamente le metodologie acquisite relative all’incremento della velocità.</w:t>
      </w:r>
    </w:p>
    <w:p w:rsidR="0067170F" w:rsidRDefault="00E52685">
      <w:pPr>
        <w:pStyle w:val="normal"/>
        <w:numPr>
          <w:ilvl w:val="0"/>
          <w:numId w:val="22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z w:val="24"/>
          <w:szCs w:val="24"/>
        </w:rPr>
        <w:t>per mettere in pratica correttamente la tecnica di corsa, andature e staffette.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</w:p>
    <w:p w:rsidR="0067170F" w:rsidRDefault="00E52685">
      <w:pPr>
        <w:pStyle w:val="normal"/>
        <w:numPr>
          <w:ilvl w:val="0"/>
          <w:numId w:val="2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Applicare sufficientemente le metodologie relative all’incremento della velocità.</w:t>
      </w: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4</w:t>
      </w: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Le capacità condizionali: la forza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Competenze:</w:t>
      </w:r>
    </w:p>
    <w:p w:rsidR="0067170F" w:rsidRDefault="00E52685">
      <w:pPr>
        <w:pStyle w:val="normal"/>
        <w:numPr>
          <w:ilvl w:val="0"/>
          <w:numId w:val="14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condurre una esercitazione specifica.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Conoscenze:</w:t>
      </w:r>
    </w:p>
    <w:p w:rsidR="0067170F" w:rsidRDefault="00E52685">
      <w:pPr>
        <w:pStyle w:val="normal"/>
        <w:numPr>
          <w:ilvl w:val="0"/>
          <w:numId w:val="19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 diversi distretti muscolari e le diverse tecniche di tonificazione.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Abilità:</w:t>
      </w:r>
    </w:p>
    <w:p w:rsidR="0067170F" w:rsidRDefault="00E52685">
      <w:pPr>
        <w:pStyle w:val="normal"/>
        <w:numPr>
          <w:ilvl w:val="0"/>
          <w:numId w:val="8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Saper utilizzare correttamente gli esercizi a corpo libero ed a coppie per aumentare il livello </w:t>
      </w:r>
      <w:r>
        <w:rPr>
          <w:rFonts w:ascii="Calibri" w:eastAsia="Calibri" w:hAnsi="Calibri" w:cs="Calibri"/>
          <w:sz w:val="24"/>
          <w:szCs w:val="24"/>
        </w:rPr>
        <w:t>di forza dei diversi distretti muscolari.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</w:p>
    <w:p w:rsidR="0067170F" w:rsidRDefault="00E52685">
      <w:pPr>
        <w:pStyle w:val="normal"/>
        <w:numPr>
          <w:ilvl w:val="0"/>
          <w:numId w:val="26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Applicare sufficientemente le metodologie relative all’incremento della forza in generale.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5</w:t>
      </w: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Gli sport di squadra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Competenze:</w:t>
      </w:r>
    </w:p>
    <w:p w:rsidR="0067170F" w:rsidRDefault="00E52685">
      <w:pPr>
        <w:pStyle w:val="normal"/>
        <w:numPr>
          <w:ilvl w:val="0"/>
          <w:numId w:val="1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Partecipare ai tornei di classe.</w:t>
      </w:r>
    </w:p>
    <w:p w:rsidR="0067170F" w:rsidRDefault="00E52685">
      <w:pPr>
        <w:pStyle w:val="normal"/>
        <w:numPr>
          <w:ilvl w:val="0"/>
          <w:numId w:val="1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Ideare e proporre attivi</w:t>
      </w:r>
      <w:r>
        <w:rPr>
          <w:rFonts w:ascii="Calibri" w:eastAsia="Calibri" w:hAnsi="Calibri" w:cs="Calibri"/>
          <w:sz w:val="24"/>
          <w:szCs w:val="24"/>
        </w:rPr>
        <w:t>tà sportive anche con regole adattate.</w:t>
      </w:r>
    </w:p>
    <w:p w:rsidR="0067170F" w:rsidRDefault="00E52685">
      <w:pPr>
        <w:pStyle w:val="normal"/>
        <w:numPr>
          <w:ilvl w:val="0"/>
          <w:numId w:val="1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Accettare e rispettare regole e compagni.</w:t>
      </w:r>
    </w:p>
    <w:p w:rsidR="0067170F" w:rsidRDefault="00E52685">
      <w:pPr>
        <w:pStyle w:val="normal"/>
        <w:numPr>
          <w:ilvl w:val="0"/>
          <w:numId w:val="1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Assumere la responsabilità delle proprie azioni.</w:t>
      </w:r>
    </w:p>
    <w:p w:rsidR="0067170F" w:rsidRDefault="00E52685">
      <w:pPr>
        <w:pStyle w:val="normal"/>
        <w:numPr>
          <w:ilvl w:val="0"/>
          <w:numId w:val="1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Collaborare per raggiungere un fine comune.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Conoscenze:</w:t>
      </w:r>
    </w:p>
    <w:p w:rsidR="0067170F" w:rsidRDefault="00E52685">
      <w:pPr>
        <w:pStyle w:val="normal"/>
        <w:numPr>
          <w:ilvl w:val="0"/>
          <w:numId w:val="23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principali regole dei giochi sportivi praticati.</w:t>
      </w:r>
    </w:p>
    <w:p w:rsidR="0067170F" w:rsidRDefault="00E52685">
      <w:pPr>
        <w:pStyle w:val="normal"/>
        <w:numPr>
          <w:ilvl w:val="0"/>
          <w:numId w:val="23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i principali gesti arbitrali.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Abilità:</w:t>
      </w:r>
    </w:p>
    <w:p w:rsidR="0067170F" w:rsidRDefault="00E52685">
      <w:pPr>
        <w:pStyle w:val="normal"/>
        <w:numPr>
          <w:ilvl w:val="0"/>
          <w:numId w:val="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collaborare per un fine comune.</w:t>
      </w:r>
    </w:p>
    <w:p w:rsidR="0067170F" w:rsidRDefault="00E52685">
      <w:pPr>
        <w:pStyle w:val="normal"/>
        <w:numPr>
          <w:ilvl w:val="0"/>
          <w:numId w:val="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Comportarsi con fair play nelle varie situazioni di gioco.</w:t>
      </w:r>
    </w:p>
    <w:p w:rsidR="0067170F" w:rsidRDefault="00E52685">
      <w:pPr>
        <w:pStyle w:val="normal"/>
        <w:numPr>
          <w:ilvl w:val="0"/>
          <w:numId w:val="1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arbitrare i giochi sportivi praticati.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</w:p>
    <w:p w:rsidR="0067170F" w:rsidRDefault="00E52685">
      <w:pPr>
        <w:pStyle w:val="normal"/>
        <w:numPr>
          <w:ilvl w:val="0"/>
          <w:numId w:val="10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accettare regole e compa</w:t>
      </w:r>
      <w:r>
        <w:rPr>
          <w:rFonts w:ascii="Calibri" w:eastAsia="Calibri" w:hAnsi="Calibri" w:cs="Calibri"/>
          <w:sz w:val="24"/>
          <w:szCs w:val="24"/>
        </w:rPr>
        <w:t>gni.</w:t>
      </w:r>
    </w:p>
    <w:p w:rsidR="0067170F" w:rsidRDefault="00E52685">
      <w:pPr>
        <w:pStyle w:val="normal"/>
        <w:numPr>
          <w:ilvl w:val="0"/>
          <w:numId w:val="10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Assumere le responsabilità delle proprie azioni.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6</w:t>
      </w: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Gli sport di squadra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Competenze:</w:t>
      </w:r>
    </w:p>
    <w:p w:rsidR="0067170F" w:rsidRDefault="00E52685">
      <w:pPr>
        <w:pStyle w:val="normal"/>
        <w:numPr>
          <w:ilvl w:val="0"/>
          <w:numId w:val="6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utilizzare sufficientemente i principali fondamentali individuali di gioco durante una partita di pallavolo, basket, pallamano e calcio a</w:t>
      </w:r>
      <w:r>
        <w:rPr>
          <w:rFonts w:ascii="Calibri" w:eastAsia="Calibri" w:hAnsi="Calibri" w:cs="Calibri"/>
          <w:sz w:val="24"/>
          <w:szCs w:val="24"/>
        </w:rPr>
        <w:t xml:space="preserve"> 5.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Conoscenze:</w:t>
      </w:r>
    </w:p>
    <w:p w:rsidR="0067170F" w:rsidRDefault="00E52685">
      <w:pPr>
        <w:pStyle w:val="normal"/>
        <w:numPr>
          <w:ilvl w:val="0"/>
          <w:numId w:val="20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 principali fondamentali individuali di gioco delle seguenti discipline sportive: pallavolo, basket, pallamano e calcio a 5.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Abilità:</w:t>
      </w:r>
    </w:p>
    <w:p w:rsidR="0067170F" w:rsidRDefault="00E52685">
      <w:pPr>
        <w:pStyle w:val="normal"/>
        <w:numPr>
          <w:ilvl w:val="0"/>
          <w:numId w:val="12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Saper eseguire in modo appropriato i principali fondamentali di gioco durante una partita di pallavolo, basket, pallamano e calcio a 5.</w:t>
      </w: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</w:p>
    <w:p w:rsidR="0067170F" w:rsidRDefault="00E52685">
      <w:pPr>
        <w:pStyle w:val="normal"/>
        <w:numPr>
          <w:ilvl w:val="0"/>
          <w:numId w:val="29"/>
        </w:numP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eseguire sufficientemente i principali fondamentali individuali di gioco delle seguenti discipl</w:t>
      </w:r>
      <w:r>
        <w:rPr>
          <w:rFonts w:ascii="Calibri" w:eastAsia="Calibri" w:hAnsi="Calibri" w:cs="Calibri"/>
          <w:sz w:val="24"/>
          <w:szCs w:val="24"/>
        </w:rPr>
        <w:t>ine sportive: pallavolo, basket, pallamano e calcio a 5.</w:t>
      </w:r>
    </w:p>
    <w:p w:rsidR="0067170F" w:rsidRDefault="0067170F">
      <w:pPr>
        <w:pStyle w:val="normal"/>
        <w:tabs>
          <w:tab w:val="center" w:pos="4819"/>
          <w:tab w:val="right" w:pos="9638"/>
        </w:tabs>
        <w:ind w:left="720"/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Educazione ambientale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Conoscenze:</w:t>
      </w:r>
    </w:p>
    <w:p w:rsidR="0067170F" w:rsidRDefault="00E5268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caratteristiche delle varie tipologie di attività motorie e sportive in ambiente naturale.</w:t>
      </w:r>
    </w:p>
    <w:p w:rsidR="0067170F" w:rsidRDefault="00E5268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possibili modalità di utilizzo delle conoscenze di discipline diverse per attività motorie e sportive in ambiente naturale.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Abilità:</w:t>
      </w:r>
    </w:p>
    <w:p w:rsidR="0067170F" w:rsidRDefault="00E52685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</w:t>
      </w:r>
      <w:r>
        <w:rPr>
          <w:rFonts w:ascii="Calibri" w:eastAsia="Calibri" w:hAnsi="Calibri" w:cs="Calibri"/>
          <w:sz w:val="24"/>
          <w:szCs w:val="24"/>
        </w:rPr>
        <w:t>si muovere con adeguata disinvoltura in ambiente naturale adattandosi alle caratteristiche dell’ambiente stesso.</w:t>
      </w:r>
    </w:p>
    <w:p w:rsidR="0067170F" w:rsidRDefault="00E52685"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riconoscere le conoscenze derivanti da discipline diverse utili a sviluppare attività motorie e sportive in ambiente naturale.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Competenze:</w:t>
      </w:r>
    </w:p>
    <w:p w:rsidR="0067170F" w:rsidRDefault="00E52685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praticare attività motorie in ambiente naturale adeguando il comportamento al contesto.</w:t>
      </w:r>
    </w:p>
    <w:p w:rsidR="0067170F" w:rsidRDefault="00E52685"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utilizzare adeguatamente le conoscenze di diverse discipline in attività motorie in ambito naturale.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Tipologie di verifica, elaborati ed</w:t>
      </w:r>
      <w:r>
        <w:rPr>
          <w:rFonts w:ascii="Calibri" w:eastAsia="Calibri" w:hAnsi="Calibri" w:cs="Calibri"/>
          <w:b/>
          <w:sz w:val="24"/>
          <w:szCs w:val="24"/>
        </w:rPr>
        <w:t xml:space="preserve"> esercitazioni </w:t>
      </w: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Verranno utilizzati, come strumenti di verifica, sia di carattere formativo che </w:t>
      </w:r>
      <w:proofErr w:type="spellStart"/>
      <w:r>
        <w:rPr>
          <w:rFonts w:ascii="Calibri" w:eastAsia="Calibri" w:hAnsi="Calibri" w:cs="Calibri"/>
          <w:sz w:val="24"/>
          <w:szCs w:val="24"/>
        </w:rPr>
        <w:t>sommativo</w:t>
      </w:r>
      <w:proofErr w:type="spellEnd"/>
      <w:r>
        <w:rPr>
          <w:rFonts w:ascii="Calibri" w:eastAsia="Calibri" w:hAnsi="Calibri" w:cs="Calibri"/>
          <w:sz w:val="24"/>
          <w:szCs w:val="24"/>
        </w:rPr>
        <w:t>, test motori, osservazione in situazione, prove strutturate, prove cronometrate e relazioni. Tipologia di prove previste:</w:t>
      </w:r>
    </w:p>
    <w:p w:rsidR="0067170F" w:rsidRDefault="00E5268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Osservazione in situazione.</w:t>
      </w:r>
    </w:p>
    <w:p w:rsidR="0067170F" w:rsidRDefault="00E5268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Test specifici individuali per valutare: la capacità di equilibrio e di reazione motoria, la frequenza dei movimenti, la destrezza. Durata: in funzione del tipo di test.</w:t>
      </w:r>
    </w:p>
    <w:p w:rsidR="0067170F" w:rsidRDefault="00E5268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Test specifici di gruppo per valutare l’osservanza delle regole del gioco, comportamen</w:t>
      </w:r>
      <w:r>
        <w:rPr>
          <w:rFonts w:ascii="Calibri" w:eastAsia="Calibri" w:hAnsi="Calibri" w:cs="Calibri"/>
          <w:sz w:val="24"/>
          <w:szCs w:val="24"/>
        </w:rPr>
        <w:t>ti corretti, l’esecuzione dei fondamenti della disciplina sportiva. Durata variabile.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7170F" w:rsidRDefault="00E52685">
      <w:pPr>
        <w:pStyle w:val="normal"/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Si osserveranno sistematicamente gli allievi, il loro comportamento e i miglioramenti rispetto ai livelli di partenza. Le verifiche form</w:t>
      </w:r>
      <w:r>
        <w:rPr>
          <w:rFonts w:ascii="Calibri" w:eastAsia="Calibri" w:hAnsi="Calibri" w:cs="Calibri"/>
          <w:sz w:val="24"/>
          <w:szCs w:val="24"/>
        </w:rPr>
        <w:t xml:space="preserve">ative avverranno tramite:lezioni dialogate,esercitazioni pratiche, brevi questionari di apprendimento. Le verifiche </w:t>
      </w:r>
      <w:proofErr w:type="spellStart"/>
      <w:r>
        <w:rPr>
          <w:rFonts w:ascii="Calibri" w:eastAsia="Calibri" w:hAnsi="Calibri" w:cs="Calibri"/>
          <w:sz w:val="24"/>
          <w:szCs w:val="24"/>
        </w:rPr>
        <w:t>sommative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effettueranno tramite: prove pratiche, test, prove strutturate. Si prevedono di massima tre verifiche per quadrimestre. La valu</w:t>
      </w:r>
      <w:r>
        <w:rPr>
          <w:rFonts w:ascii="Calibri" w:eastAsia="Calibri" w:hAnsi="Calibri" w:cs="Calibri"/>
          <w:sz w:val="24"/>
          <w:szCs w:val="24"/>
        </w:rPr>
        <w:t>tazione quadrimestrale sarà espressa con voto unico sia al primo che al secondo quadrimestre. Pertanto la valutazione quadrimestrale e finale, sarà rappresentata dalla media delle verifiche disciplinari teorico/pratiche riguardanti le conoscenze, le abilit</w:t>
      </w:r>
      <w:r>
        <w:rPr>
          <w:rFonts w:ascii="Calibri" w:eastAsia="Calibri" w:hAnsi="Calibri" w:cs="Calibri"/>
          <w:sz w:val="24"/>
          <w:szCs w:val="24"/>
        </w:rPr>
        <w:t>à e le competenze acquisite ,ma terrà altresì conto dell’impegno, del comportamento, della partecipazione e dell’interesse mostrati da ogni allievo durante le lezioni.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:rsidR="0067170F" w:rsidRDefault="00E52685">
      <w:pPr>
        <w:pStyle w:val="normal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L'approccio metodologico di tipo individualizzato s</w:t>
      </w:r>
      <w:r>
        <w:rPr>
          <w:rFonts w:ascii="Calibri" w:eastAsia="Calibri" w:hAnsi="Calibri" w:cs="Calibri"/>
          <w:sz w:val="24"/>
          <w:szCs w:val="24"/>
        </w:rPr>
        <w:t xml:space="preserve">i sviluppa a partire dalle necessità, esperienze pregresse e ritmi personali di sviluppo di ciascun alunno. </w:t>
      </w:r>
    </w:p>
    <w:p w:rsidR="0067170F" w:rsidRDefault="00E52685">
      <w:pPr>
        <w:pStyle w:val="normal"/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 proposte didattiche in presenza seguono il principio della gradualità sia nelle difficoltà che nell'intensità del lavoro da svolgere sotto forma</w:t>
      </w:r>
      <w:r>
        <w:rPr>
          <w:rFonts w:ascii="Calibri" w:eastAsia="Calibri" w:hAnsi="Calibri" w:cs="Calibri"/>
          <w:sz w:val="24"/>
          <w:szCs w:val="24"/>
        </w:rPr>
        <w:t xml:space="preserve"> di esercitazioni, circuiti, giochi sportivi, con difficoltà e intensità progressive. Le proposte sono rivolte all'intero gruppo classe, a piccoli gruppi, a coppie e individualmente a seconda delle esigenze contingenti nel rispetto dei livelli di partenza </w:t>
      </w:r>
      <w:r>
        <w:rPr>
          <w:rFonts w:ascii="Calibri" w:eastAsia="Calibri" w:hAnsi="Calibri" w:cs="Calibri"/>
          <w:sz w:val="24"/>
          <w:szCs w:val="24"/>
        </w:rPr>
        <w:t>e delle potenzialità del singolo. Per facilitare l'apprendimento motorio, l'associazione e l'interiorizzazione delle esperienze precedentemente fatte, si utilizzerà il criterio della gradualità delle difficoltà.</w:t>
      </w:r>
    </w:p>
    <w:p w:rsidR="0067170F" w:rsidRDefault="00E52685">
      <w:pPr>
        <w:pStyle w:val="normal"/>
        <w:shd w:val="clear" w:color="auto" w:fill="FFFFFF"/>
        <w:spacing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 gli studenti con particolari carenze nelle conoscenze e abilità legate alla disciplina verrà attivato un recupero in itinere al fine di rispondere ai bisogni formativi individuali. Quando possibile verranno utilizzati strategie didattiche che prevedono</w:t>
      </w:r>
      <w:r>
        <w:rPr>
          <w:rFonts w:ascii="Calibri" w:eastAsia="Calibri" w:hAnsi="Calibri" w:cs="Calibri"/>
          <w:sz w:val="24"/>
          <w:szCs w:val="24"/>
        </w:rPr>
        <w:t xml:space="preserve"> attività di cooperative learning e di tutoraggio tra pari.</w:t>
      </w: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67170F" w:rsidRDefault="0067170F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67170F" w:rsidRDefault="0067170F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:rsidR="0067170F" w:rsidRDefault="00E52685">
      <w:pPr>
        <w:pStyle w:val="normal"/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lì 9/10/2022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La docente:  Barbara Sodi</w:t>
      </w:r>
    </w:p>
    <w:sectPr w:rsidR="0067170F" w:rsidSect="0067170F">
      <w:pgSz w:w="11906" w:h="16838"/>
      <w:pgMar w:top="426" w:right="1134" w:bottom="1134" w:left="1134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35B"/>
    <w:multiLevelType w:val="multilevel"/>
    <w:tmpl w:val="9B4C5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65108B"/>
    <w:multiLevelType w:val="multilevel"/>
    <w:tmpl w:val="B8E49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574AC1"/>
    <w:multiLevelType w:val="multilevel"/>
    <w:tmpl w:val="48FC7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810BB7"/>
    <w:multiLevelType w:val="multilevel"/>
    <w:tmpl w:val="309EA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E5196C"/>
    <w:multiLevelType w:val="multilevel"/>
    <w:tmpl w:val="D6CCE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EAF531B"/>
    <w:multiLevelType w:val="multilevel"/>
    <w:tmpl w:val="13AAB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7563BC7"/>
    <w:multiLevelType w:val="multilevel"/>
    <w:tmpl w:val="FDF41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995676C"/>
    <w:multiLevelType w:val="multilevel"/>
    <w:tmpl w:val="E4FA0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AFD7585"/>
    <w:multiLevelType w:val="multilevel"/>
    <w:tmpl w:val="8132E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CFA250C"/>
    <w:multiLevelType w:val="multilevel"/>
    <w:tmpl w:val="E1340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EC2769F"/>
    <w:multiLevelType w:val="multilevel"/>
    <w:tmpl w:val="290E7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F7960DF"/>
    <w:multiLevelType w:val="multilevel"/>
    <w:tmpl w:val="33BC2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67B4C8C"/>
    <w:multiLevelType w:val="multilevel"/>
    <w:tmpl w:val="BD24C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AD70324"/>
    <w:multiLevelType w:val="multilevel"/>
    <w:tmpl w:val="60DA2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C456D42"/>
    <w:multiLevelType w:val="multilevel"/>
    <w:tmpl w:val="86805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E3D794A"/>
    <w:multiLevelType w:val="multilevel"/>
    <w:tmpl w:val="BC1E63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FC70306"/>
    <w:multiLevelType w:val="multilevel"/>
    <w:tmpl w:val="4DB0D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43E1446E"/>
    <w:multiLevelType w:val="multilevel"/>
    <w:tmpl w:val="E71CC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6D34F46"/>
    <w:multiLevelType w:val="multilevel"/>
    <w:tmpl w:val="D1C02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DCF4685"/>
    <w:multiLevelType w:val="multilevel"/>
    <w:tmpl w:val="4E9AE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EDA53AA"/>
    <w:multiLevelType w:val="multilevel"/>
    <w:tmpl w:val="C76E6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1D03FC1"/>
    <w:multiLevelType w:val="multilevel"/>
    <w:tmpl w:val="0882C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7A20DFC"/>
    <w:multiLevelType w:val="multilevel"/>
    <w:tmpl w:val="43964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CF66324"/>
    <w:multiLevelType w:val="multilevel"/>
    <w:tmpl w:val="577C84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F0F6A97"/>
    <w:multiLevelType w:val="multilevel"/>
    <w:tmpl w:val="C5807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72C30F4"/>
    <w:multiLevelType w:val="multilevel"/>
    <w:tmpl w:val="64462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A5C6543"/>
    <w:multiLevelType w:val="multilevel"/>
    <w:tmpl w:val="F7A89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AF00D33"/>
    <w:multiLevelType w:val="multilevel"/>
    <w:tmpl w:val="35F8D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D25558A"/>
    <w:multiLevelType w:val="multilevel"/>
    <w:tmpl w:val="BCDAB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9"/>
  </w:num>
  <w:num w:numId="5">
    <w:abstractNumId w:val="26"/>
  </w:num>
  <w:num w:numId="6">
    <w:abstractNumId w:val="6"/>
  </w:num>
  <w:num w:numId="7">
    <w:abstractNumId w:val="17"/>
  </w:num>
  <w:num w:numId="8">
    <w:abstractNumId w:val="13"/>
  </w:num>
  <w:num w:numId="9">
    <w:abstractNumId w:val="7"/>
  </w:num>
  <w:num w:numId="10">
    <w:abstractNumId w:val="10"/>
  </w:num>
  <w:num w:numId="11">
    <w:abstractNumId w:val="24"/>
  </w:num>
  <w:num w:numId="12">
    <w:abstractNumId w:val="20"/>
  </w:num>
  <w:num w:numId="13">
    <w:abstractNumId w:val="25"/>
  </w:num>
  <w:num w:numId="14">
    <w:abstractNumId w:val="5"/>
  </w:num>
  <w:num w:numId="15">
    <w:abstractNumId w:val="18"/>
  </w:num>
  <w:num w:numId="16">
    <w:abstractNumId w:val="4"/>
  </w:num>
  <w:num w:numId="17">
    <w:abstractNumId w:val="2"/>
  </w:num>
  <w:num w:numId="18">
    <w:abstractNumId w:val="16"/>
  </w:num>
  <w:num w:numId="19">
    <w:abstractNumId w:val="11"/>
  </w:num>
  <w:num w:numId="20">
    <w:abstractNumId w:val="15"/>
  </w:num>
  <w:num w:numId="21">
    <w:abstractNumId w:val="21"/>
  </w:num>
  <w:num w:numId="22">
    <w:abstractNumId w:val="19"/>
  </w:num>
  <w:num w:numId="23">
    <w:abstractNumId w:val="22"/>
  </w:num>
  <w:num w:numId="24">
    <w:abstractNumId w:val="28"/>
  </w:num>
  <w:num w:numId="25">
    <w:abstractNumId w:val="12"/>
  </w:num>
  <w:num w:numId="26">
    <w:abstractNumId w:val="1"/>
  </w:num>
  <w:num w:numId="27">
    <w:abstractNumId w:val="3"/>
  </w:num>
  <w:num w:numId="28">
    <w:abstractNumId w:val="27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7170F"/>
    <w:rsid w:val="0067170F"/>
    <w:rsid w:val="00E5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7170F"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6717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67170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67170F"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67170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67170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7170F"/>
  </w:style>
  <w:style w:type="table" w:customStyle="1" w:styleId="TableNormal">
    <w:name w:val="Table Normal"/>
    <w:rsid w:val="00671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170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6717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170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Windows User</cp:lastModifiedBy>
  <cp:revision>2</cp:revision>
  <dcterms:created xsi:type="dcterms:W3CDTF">2022-12-09T15:00:00Z</dcterms:created>
  <dcterms:modified xsi:type="dcterms:W3CDTF">2022-12-09T15:00:00Z</dcterms:modified>
</cp:coreProperties>
</file>